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officeDocument" Target="/word/document.xml" Id="R8e4b35eb398c437c"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233</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ASOCIATIA G.A.L. "POIANA VLADICAI"</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I4. Dezvoltarea investitiilor si serviciilor de baza locale</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Observații</w:t>
            </w:r>
            <w:r>
              <w:rPr>
                <w:rFonts w:ascii="Cambria" w:hAnsi="Cambria"/>
                <w:b w:val="false"/>
                <w:color w:val="FFFFFF"/>
                <w:sz w:val="24"/>
              </w:rPr>
              <w:t> 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w:t>
            </w:r>
          </w:p>
        </w:tc>
        <w:tc>
          <w:tcPr>
            <w:vAlign w:val="center"/>
          </w:tcPr>
          <w:p>
            <w:r>
              <w:rPr>
                <w:rFonts w:ascii="Cambria Bold" w:hAnsi="Cambria Bold"/>
                <w:b/>
                <w:color w:val="1B4167"/>
                <w:sz w:val="24"/>
              </w:rPr>
              <w:t>Solicitantul trebuie să se încadreze în categoria beneficiarilor eligibili;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Expertul verifica Fisa interventiei I.4 si Ghidul solicitantului I.4pentru a determina categoria solicitantilor eligibili.Expertul va verifica daca solicitantul se incadreaza in categoriasolicitantilor eligibili, respectiv:- Autorități publice locale- Asociații de Dezvoltare IntercomunitarăExpertul verifică documentele care atestă forma de organizare asolicitantului.In cazul in care la Cererea de Finantare solicitantul nu a depusdocumentul care atesta forma de organizare acesta poate fi solicitat prin formularul E3.4 solicitare informatii suplimentare. In cazul ı̂n care, ı̂n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informaţii suplimentare.Dacă ı̂n urma verificării documentelor se constată respectarea condițiilor impuse, expertul bifează DA. In caz contrar expertul bifează NU, motivează poziția lui la rubrica „Observații / Justificări”, iar Cererea de finanțare va fi declarată neeligibilă. Se continuă verificarea eligibilității.Documente obligatorii:</w:t>
            </w:r>
          </w:p>
          <w:p>
            <w:pPr>
              <w:pStyle w:val="ListParagraph"/>
              <w:numPr>
                <w:ilvl w:val="0"/>
                <w:numId w:val="2"/>
              </w:numPr>
            </w:pPr>
            <w:r>
              <w:rPr>
                <w:rFonts w:ascii="Cambria" w:hAnsi="Cambria"/>
                <w:b w:val="false"/>
                <w:sz w:val="24"/>
              </w:rPr>
              <w:t>Cererea de finantare</w:t>
            </w:r>
          </w:p>
          <w:p>
            <w:pPr>
              <w:pStyle w:val="ListParagraph"/>
              <w:numPr>
                <w:ilvl w:val="0"/>
                <w:numId w:val="2"/>
              </w:numPr>
            </w:pPr>
            <w:r>
              <w:rPr>
                <w:rFonts w:ascii="Cambria" w:hAnsi="Cambria"/>
                <w:b w:val="false"/>
                <w:sz w:val="24"/>
              </w:rPr>
              <w:t>Documente care atestă forma de organizare a solicitantului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w:t>
            </w:r>
          </w:p>
        </w:tc>
        <w:tc>
          <w:tcPr>
            <w:vAlign w:val="center"/>
          </w:tcPr>
          <w:p>
            <w:r>
              <w:rPr>
                <w:rFonts w:ascii="Cambria Bold" w:hAnsi="Cambria Bold"/>
                <w:b/>
                <w:color w:val="1B4167"/>
                <w:sz w:val="24"/>
              </w:rPr>
              <w:t>Solicitantul nu trebuie să fie în insolvență sau în incapacitate de plată;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Pentru verificarea acestui criteriu, expertul verifică existența pct. 20 din</w:t>
            </w:r>
          </w:p>
          <w:p>
            <w:pPr>
              <w:spacing w:line="360" w:lineRule="auto"/>
              <w:ind w:left="0" w:right="0" w:firstLine="493"/>
            </w:pPr>
            <w:r>
              <w:rPr>
                <w:rFonts w:ascii="Cambria" w:hAnsi="Cambria"/>
                <w:b w:val="false"/>
                <w:sz w:val="24"/>
              </w:rPr>
              <w:t>Declarația F din cadrul Cererii de finanțare.</w:t>
            </w:r>
          </w:p>
          <w:p>
            <w:pPr>
              <w:spacing w:line="360" w:lineRule="auto"/>
              <w:ind w:left="0" w:right="0" w:firstLine="493"/>
            </w:pPr>
            <w:r>
              <w:rPr>
                <w:rFonts w:ascii="Cambria" w:hAnsi="Cambria"/>
                <w:b w:val="false"/>
                <w:sz w:val="24"/>
              </w:rPr>
              <w:t>Dacă ı̂n urma verificării documentelor se constată respectarea condițiilor impuse, expertul bifează DA. In caz contrar expertul bifează NU, motivează poziția lui la rubrica „Observații / Justificări”, iar Cererea de finanțare va fi declarată neeligibilă. Se continuă verificarea eligibilității.</w:t>
            </w:r>
          </w:p>
          <w:p>
            <w:pPr>
              <w:spacing w:line="360" w:lineRule="auto"/>
              <w:ind w:left="0" w:right="0" w:firstLine="493"/>
            </w:pPr>
            <w:r>
              <w:rPr>
                <w:rFonts w:ascii="Cambria" w:hAnsi="Cambria"/>
                <w:b w:val="false"/>
                <w:sz w:val="24"/>
              </w:rPr>
              <w:t>Documente obligatorii:</w:t>
            </w:r>
          </w:p>
          <w:p>
            <w:pPr>
              <w:pStyle w:val="ListParagraph"/>
              <w:numPr>
                <w:ilvl w:val="0"/>
                <w:numId w:val="2"/>
              </w:numPr>
            </w:pPr>
            <w:r>
              <w:rPr>
                <w:rFonts w:ascii="Cambria" w:hAnsi="Cambria"/>
                <w:b w:val="false"/>
                <w:sz w:val="24"/>
              </w:rPr>
              <w:t>Declarația pe propria răspundere a solicitantului, sectiunea F din Cererea de finantare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3</w:t>
            </w:r>
          </w:p>
        </w:tc>
        <w:tc>
          <w:tcPr>
            <w:vAlign w:val="center"/>
          </w:tcPr>
          <w:p>
            <w:r>
              <w:rPr>
                <w:rFonts w:ascii="Cambria Bold" w:hAnsi="Cambria Bold"/>
                <w:b/>
                <w:color w:val="1B4167"/>
                <w:sz w:val="24"/>
              </w:rPr>
              <w:t>Solicitantul se angajează să asigure întreținerea/mentenanța investiției pe o perioadă de minim 3 ani (5 ani pentru proiectele care prevad Constructii+Montaj), de la finalizarea ultimei cereri de plata;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Expertul verifică în Hotarârea Consiliului Local/Hotărârile Consiliilor Locale/ Hotarârea Adunarii Generale (în cazul ADI) pentru implementarea proiectului, angajamentul solicitantului de a suporta cheltuielile de întreţinere /mentenanță a investiţiei pe o perioadă de minimum 3 ani (5 ani pentru proiectele care prevad Constructii+Montaj), de la finalizarea ultimei cereri de plata.</w:t>
            </w:r>
          </w:p>
          <w:p>
            <w:pPr>
              <w:spacing w:line="360" w:lineRule="auto"/>
              <w:ind w:left="0" w:right="0" w:firstLine="493"/>
            </w:pPr>
            <w:r>
              <w:rPr>
                <w:rFonts w:ascii="Cambria" w:hAnsi="Cambria"/>
                <w:b w:val="false"/>
                <w:sz w:val="24"/>
              </w:rPr>
              <w:t>Dacă verificarea documentelor confirmă ı̂ndeplinirea condiției impuse,</w:t>
            </w:r>
          </w:p>
          <w:p>
            <w:pPr>
              <w:spacing w:line="360" w:lineRule="auto"/>
              <w:ind w:left="0" w:right="0" w:firstLine="493"/>
            </w:pPr>
            <w:r>
              <w:rPr>
                <w:rFonts w:ascii="Cambria" w:hAnsi="Cambria"/>
                <w:b w:val="false"/>
                <w:sz w:val="24"/>
              </w:rPr>
              <w:t>bifează coloana DA. In caz contrar se va bifa “NU”, expertul ı̂şi motivează poziţia ı̂n rubrica „Observaţii” si Cererea de finanţare va fi declarată neeligibilă.</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4</w:t>
            </w:r>
          </w:p>
        </w:tc>
        <w:tc>
          <w:tcPr>
            <w:vAlign w:val="center"/>
          </w:tcPr>
          <w:p>
            <w:r>
              <w:rPr>
                <w:rFonts w:ascii="Cambria Bold" w:hAnsi="Cambria Bold"/>
                <w:b/>
                <w:color w:val="1B4167"/>
                <w:sz w:val="24"/>
              </w:rPr>
              <w:t>Investiția să se încadreze în tipul de sprijin prevăzut prin interventie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Expertul verifică ı̂n Cererea de Finantare/Studiul de Fezabilitate/Memoriul Justificativ/Documentația de Avizare a Lucrărilor de Intervenții și Hotărârea Consiliului Local/ Consiliilor Locale (ı̂n cazul ADI)/ Hotărârea Adunarii Generale a ADI informațiile prezentate ı̂n ceea ce privește activitatea propusă spre finanțare.</w:t>
            </w:r>
          </w:p>
          <w:p>
            <w:pPr>
              <w:spacing w:line="360" w:lineRule="auto"/>
              <w:ind w:left="0" w:right="0" w:firstLine="493"/>
            </w:pPr>
            <w:r>
              <w:rPr>
                <w:rFonts w:ascii="Cambria" w:hAnsi="Cambria"/>
                <w:b w:val="false"/>
                <w:sz w:val="24"/>
              </w:rPr>
              <w:t>De asemenea, expertul verifică dacă proiectul respectă prevederile din secțiunea „Acțiuni eligibile” din Fișa de intervenție I.4 și prevederile Capitolului „Tipuri de investiții/servicii și cheltuieli eligibile” din prezentul ghid.</w:t>
            </w:r>
          </w:p>
          <w:p>
            <w:pPr>
              <w:spacing w:line="360" w:lineRule="auto"/>
              <w:ind w:left="0" w:right="0" w:firstLine="493"/>
            </w:pPr>
            <w:r>
              <w:rPr>
                <w:rFonts w:ascii="Cambria" w:hAnsi="Cambria"/>
                <w:b w:val="false"/>
                <w:sz w:val="24"/>
              </w:rPr>
              <w:t>Dacă ı̂n urma verificării documentelor se constată respectarea condițiilor impuse, expertul bifează DA. In caz contrar expertul bifează NU, motivează poziția lui la rubrica „Observații / Justificări”, iar Cererea de finanțare va fi declarată neeligibilă. Se continuă verificarea eligibilității.</w:t>
            </w:r>
          </w:p>
          <w:p>
            <w:pPr>
              <w:spacing w:line="360" w:lineRule="auto"/>
              <w:ind w:left="0" w:right="0" w:firstLine="493"/>
            </w:pPr>
            <w:r>
              <w:rPr>
                <w:rFonts w:ascii="Cambria" w:hAnsi="Cambria"/>
                <w:b w:val="false"/>
                <w:sz w:val="24"/>
              </w:rPr>
              <w:t>Documente obligatorii:</w:t>
            </w:r>
          </w:p>
          <w:p>
            <w:pPr>
              <w:pStyle w:val="ListParagraph"/>
              <w:numPr>
                <w:ilvl w:val="0"/>
                <w:numId w:val="2"/>
              </w:numPr>
            </w:pPr>
            <w:r>
              <w:rPr>
                <w:rFonts w:ascii="Cambria" w:hAnsi="Cambria"/>
                <w:b w:val="false"/>
                <w:sz w:val="24"/>
              </w:rPr>
              <w:t>Cererea de finanțare;</w:t>
            </w:r>
          </w:p>
          <w:p>
            <w:pPr>
              <w:pStyle w:val="ListParagraph"/>
              <w:numPr>
                <w:ilvl w:val="0"/>
                <w:numId w:val="2"/>
              </w:numPr>
            </w:pPr>
            <w:r>
              <w:rPr>
                <w:rFonts w:ascii="Cambria" w:hAnsi="Cambria"/>
                <w:b w:val="false"/>
                <w:sz w:val="24"/>
              </w:rPr>
              <w:t>Studiul de Fezabilitate/Memoriul Justificativ/Documentația de Avizare a Lucrărilor de Intervenții;</w:t>
            </w:r>
          </w:p>
          <w:p>
            <w:pPr>
              <w:pStyle w:val="ListParagraph"/>
              <w:numPr>
                <w:ilvl w:val="0"/>
                <w:numId w:val="2"/>
              </w:numPr>
            </w:pPr>
            <w:r>
              <w:rPr>
                <w:rFonts w:ascii="Cambria" w:hAnsi="Cambria"/>
                <w:b w:val="false"/>
                <w:sz w:val="24"/>
              </w:rPr>
              <w:t>Avize DSP, DSVSA, APM etc. (dacă este cazul).</w:t>
            </w:r>
          </w:p>
          <w:p>
            <w:pPr>
              <w:spacing w:line="360" w:lineRule="auto"/>
              <w:ind w:left="0" w:right="0" w:firstLine="493"/>
            </w:pPr>
            <w:r>
              <w:rPr>
                <w:rFonts w:ascii="Cambria" w:hAnsi="Cambria"/>
                <w:b w:val="false"/>
                <w:sz w:val="24"/>
              </w:rPr>
              <w:t> </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Proiecte clasificate dupa tipul investitiei;</w:t>
            </w:r>
          </w:p>
        </w:tc>
        <w:tc>
          <w:tcPr>
            <w:shd w:val="clear" w:color="auto" w:fill="CCE1DB"/>
            <w:vAlign w:val="center"/>
          </w:tcPr>
          <w:p>
            <w:pPr>
              <w:spacing w:line="360" w:lineRule="auto"/>
              <w:ind w:left="0" w:right="0" w:firstLine="493"/>
            </w:pPr>
            <w:r>
              <w:rPr>
                <w:rFonts w:ascii="Cambria Bold" w:hAnsi="Cambria Bold"/>
                <w:b/>
                <w:color w:val="014935"/>
                <w:sz w:val="24"/>
              </w:rPr>
              <w:t>40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1.1</w:t>
            </w:r>
          </w:p>
        </w:tc>
        <w:tc>
          <w:tcPr>
            <w:shd w:val="clear" w:color="auto" w:fill="F8ECD2"/>
            <w:vAlign w:val="center"/>
          </w:tcPr>
          <w:p>
            <w:r>
              <w:rPr>
                <w:rFonts w:ascii="Cambria" w:hAnsi="Cambria"/>
                <w:b w:val="false"/>
                <w:color w:val="58400C"/>
                <w:sz w:val="24"/>
              </w:rPr>
              <w:t>Proiectul vizează achiziția de dotări şi/sau echipamente fără montaj si fara necesitatea Autorizatiei de Constructie (fără lucrări de construcție sau modernizare).</w:t>
            </w:r>
          </w:p>
        </w:tc>
        <w:tc>
          <w:tcPr>
            <w:vAlign w:val="center"/>
          </w:tcPr>
          <w:p>
            <w:pPr>
              <w:keepNext/>
              <w:jc w:val="center"/>
            </w:pPr>
            <w:r>
              <w:rPr>
                <w:rFonts w:ascii="Cambria" w:hAnsi="Cambria"/>
                <w:b w:val="false"/>
                <w:sz w:val="24"/>
              </w:rPr>
              <w:t>40</w:t>
            </w:r>
          </w:p>
        </w:tc>
        <w:tc>
          <w:tcPr>
            <w:vAlign w:val="center"/>
          </w:tcPr>
          <w:p/>
        </w:tc>
        <w:tc>
          <w:tcPr>
            <w:vAlign w:val="center"/>
          </w:tcPr>
          <w:p/>
        </w:tc>
      </w:tr>
      <w:tr>
        <w:trPr/>
        <w:tc>
          <w:tcPr>
            <w:gridSpan w:val="5"/>
            <w:shd w:val="clear" w:color="auto" w:fill="DDDDDD"/>
            <w:vAlign w:val="center"/>
          </w:tcPr>
          <w:p>
            <w:r>
              <w:rPr>
                <w:rFonts w:ascii="Cambria" w:hAnsi="Cambria"/>
                <w:b w:val="false"/>
                <w:sz w:val="24"/>
              </w:rPr>
              <w:t>Metodologia de verificare si documente obligatorii:Expertul va acorda punctajul pentru proiectele care se încadrează, conform cererii de finanțare, în secțiunea A.9.4.3 -  </w:t>
            </w:r>
            <w:r>
              <w:rPr>
                <w:rFonts w:ascii="Cambria Bold" w:hAnsi="Cambria Bold"/>
                <w:b/>
                <w:sz w:val="24"/>
              </w:rPr>
              <w:t>Proiecte de dotări și/sau echipamente fără montaj.</w:t>
            </w:r>
            <w:r>
              <w:rPr>
                <w:rFonts w:ascii="Cambria" w:hAnsi="Cambria"/>
                <w:b w:val="false"/>
                <w:sz w:val="24"/>
              </w:rPr>
              <w:t>Expertul verifică în documentația tehnică și în devizele proiectului dacă investiția propune exclusiv achiziția deechipamente/utilaje/dotări fara montaj fără lucrări de construcție sau modernizare.Documente obligatorii:</w:t>
            </w:r>
          </w:p>
          <w:p>
            <w:pPr>
              <w:pStyle w:val="ListParagraph"/>
              <w:numPr>
                <w:ilvl w:val="0"/>
                <w:numId w:val="2"/>
              </w:numPr>
            </w:pPr>
            <w:r>
              <w:rPr>
                <w:rFonts w:ascii="Cambria" w:hAnsi="Cambria"/>
                <w:b w:val="false"/>
                <w:sz w:val="24"/>
              </w:rPr>
              <w:t>Cererea de finanțare;</w:t>
            </w:r>
          </w:p>
          <w:p>
            <w:pPr>
              <w:pStyle w:val="ListParagraph"/>
              <w:numPr>
                <w:ilvl w:val="0"/>
                <w:numId w:val="2"/>
              </w:numPr>
            </w:pPr>
            <w:r>
              <w:rPr>
                <w:rFonts w:ascii="Cambria" w:hAnsi="Cambria"/>
                <w:b w:val="false"/>
                <w:sz w:val="24"/>
              </w:rPr>
              <w:t>SF/DALI/MJ;</w:t>
            </w:r>
          </w:p>
          <w:p>
            <w:pPr>
              <w:pStyle w:val="ListParagraph"/>
              <w:numPr>
                <w:ilvl w:val="0"/>
                <w:numId w:val="2"/>
              </w:numPr>
            </w:pPr>
            <w:r>
              <w:rPr>
                <w:rFonts w:ascii="Cambria" w:hAnsi="Cambria"/>
                <w:b w:val="false"/>
                <w:sz w:val="24"/>
              </w:rPr>
              <w:t>Bugetul proiectului;</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1.2</w:t>
            </w:r>
          </w:p>
        </w:tc>
        <w:tc>
          <w:tcPr>
            <w:shd w:val="clear" w:color="auto" w:fill="F8ECD2"/>
            <w:vAlign w:val="center"/>
          </w:tcPr>
          <w:p>
            <w:r>
              <w:rPr>
                <w:rFonts w:ascii="Cambria" w:hAnsi="Cambria"/>
                <w:b w:val="false"/>
                <w:color w:val="58400C"/>
                <w:sz w:val="24"/>
              </w:rPr>
              <w:t>Proiectul vizează  constructii-montaj dar care nu necesita Autorizatie de construire.   </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r>
              <w:rPr>
                <w:rFonts w:ascii="Cambria" w:hAnsi="Cambria"/>
                <w:b w:val="false"/>
                <w:sz w:val="24"/>
              </w:rPr>
              <w:t>Metodologia de verificare si documente obligatorii:Expertul va acorda punctajul pentru proiectele care se încadrează, conform cererii de finanțare, în secțiunea A.9.4.2 -  </w:t>
            </w:r>
            <w:r>
              <w:rPr>
                <w:rFonts w:ascii="Cambria Bold" w:hAnsi="Cambria Bold"/>
                <w:b/>
                <w:sz w:val="24"/>
              </w:rPr>
              <w:t>Proiecte cu construcții-montaj care nu necesita Autorizație de construcție.</w:t>
            </w:r>
            <w:r>
              <w:rPr>
                <w:rFonts w:ascii="Cambria" w:hAnsi="Cambria"/>
                <w:b w:val="false"/>
                <w:sz w:val="24"/>
              </w:rPr>
              <w:t>Expertul verifică în documentația tehnică și în devizele proiectului dacă investiția propune construcții-montaj, dar care nu necesită autorizație de construire.Documente obligatorii:</w:t>
            </w:r>
          </w:p>
          <w:p>
            <w:pPr>
              <w:pStyle w:val="ListParagraph"/>
              <w:numPr>
                <w:ilvl w:val="0"/>
                <w:numId w:val="2"/>
              </w:numPr>
            </w:pPr>
            <w:r>
              <w:rPr>
                <w:rFonts w:ascii="Cambria" w:hAnsi="Cambria"/>
                <w:b w:val="false"/>
                <w:sz w:val="24"/>
              </w:rPr>
              <w:t>Cererea de finanțare</w:t>
            </w:r>
          </w:p>
          <w:p>
            <w:pPr>
              <w:pStyle w:val="ListParagraph"/>
              <w:numPr>
                <w:ilvl w:val="0"/>
                <w:numId w:val="2"/>
              </w:numPr>
            </w:pPr>
            <w:r>
              <w:rPr>
                <w:rFonts w:ascii="Cambria" w:hAnsi="Cambria"/>
                <w:b w:val="false"/>
                <w:sz w:val="24"/>
              </w:rPr>
              <w:t>SF/DALI/MJ;</w:t>
            </w:r>
          </w:p>
          <w:p>
            <w:pPr>
              <w:pStyle w:val="ListParagraph"/>
              <w:numPr>
                <w:ilvl w:val="0"/>
                <w:numId w:val="2"/>
              </w:numPr>
            </w:pPr>
            <w:r>
              <w:rPr>
                <w:rFonts w:ascii="Cambria" w:hAnsi="Cambria"/>
                <w:b w:val="false"/>
                <w:sz w:val="24"/>
              </w:rPr>
              <w:t>Bugetul proiectului</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1.3</w:t>
            </w:r>
          </w:p>
        </w:tc>
        <w:tc>
          <w:tcPr>
            <w:shd w:val="clear" w:color="auto" w:fill="F8ECD2"/>
            <w:vAlign w:val="center"/>
          </w:tcPr>
          <w:p>
            <w:r>
              <w:rPr>
                <w:rFonts w:ascii="Cambria" w:hAnsi="Cambria"/>
                <w:b w:val="false"/>
                <w:color w:val="58400C"/>
                <w:sz w:val="24"/>
              </w:rPr>
              <w:t>Proiectul vizează construcții-montaj care necesită Autorizație de construire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r>
              <w:rPr>
                <w:rFonts w:ascii="Cambria" w:hAnsi="Cambria"/>
                <w:b w:val="false"/>
                <w:sz w:val="24"/>
              </w:rPr>
              <w:t>Metodologia de verificare si documente obligatorii:Expertul va acorda punctajul pentru proiectele care se încadrează, conform cererii de finanțare, în secțiunea A.9.4.1 -  </w:t>
            </w:r>
            <w:r>
              <w:rPr>
                <w:rFonts w:ascii="Cambria Bold" w:hAnsi="Cambria Bold"/>
                <w:b/>
                <w:sz w:val="24"/>
              </w:rPr>
              <w:t>Proiecte cu construcții-montaj care necesita Autorizație de construcție.</w:t>
            </w:r>
            <w:r>
              <w:rPr>
                <w:rFonts w:ascii="Cambria" w:hAnsi="Cambria"/>
                <w:b w:val="false"/>
                <w:sz w:val="24"/>
              </w:rPr>
              <w:t>Expertul verifică în documentația tehnică și în devizele proiectului dacă investiția propune construcții-montaj carenecesită autorizație de construire.Documente obligatorii:</w:t>
            </w:r>
          </w:p>
          <w:p>
            <w:pPr>
              <w:pStyle w:val="ListParagraph"/>
              <w:numPr>
                <w:ilvl w:val="0"/>
                <w:numId w:val="2"/>
              </w:numPr>
            </w:pPr>
            <w:r>
              <w:rPr>
                <w:rFonts w:ascii="Cambria" w:hAnsi="Cambria"/>
                <w:b w:val="false"/>
                <w:sz w:val="24"/>
              </w:rPr>
              <w:t>Cererea de finanțare</w:t>
            </w:r>
          </w:p>
          <w:p>
            <w:pPr>
              <w:pStyle w:val="ListParagraph"/>
              <w:numPr>
                <w:ilvl w:val="0"/>
                <w:numId w:val="2"/>
              </w:numPr>
            </w:pPr>
            <w:r>
              <w:rPr>
                <w:rFonts w:ascii="Cambria" w:hAnsi="Cambria"/>
                <w:b w:val="false"/>
                <w:sz w:val="24"/>
              </w:rPr>
              <w:t>SF/DALI/MJ;</w:t>
            </w:r>
          </w:p>
          <w:p>
            <w:pPr>
              <w:pStyle w:val="ListParagraph"/>
              <w:numPr>
                <w:ilvl w:val="0"/>
                <w:numId w:val="2"/>
              </w:numPr>
            </w:pPr>
            <w:r>
              <w:rPr>
                <w:rFonts w:ascii="Cambria" w:hAnsi="Cambria"/>
                <w:b w:val="false"/>
                <w:sz w:val="24"/>
              </w:rPr>
              <w:t>Bugetul proiectului</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Proiecte cu impact major in comunitate;</w:t>
            </w:r>
          </w:p>
        </w:tc>
        <w:tc>
          <w:tcPr>
            <w:shd w:val="clear" w:color="auto" w:fill="CCE1DB"/>
            <w:vAlign w:val="center"/>
          </w:tcPr>
          <w:p>
            <w:pPr>
              <w:spacing w:line="360" w:lineRule="auto"/>
              <w:ind w:left="0" w:right="0" w:firstLine="493"/>
            </w:pPr>
            <w:r>
              <w:rPr>
                <w:rFonts w:ascii="Cambria Bold" w:hAnsi="Cambria Bold"/>
                <w:b/>
                <w:color w:val="014935"/>
                <w:sz w:val="24"/>
              </w:rPr>
              <w:t>30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2.1  </w:t>
            </w:r>
          </w:p>
        </w:tc>
        <w:tc>
          <w:tcPr>
            <w:shd w:val="clear" w:color="auto" w:fill="F8ECD2"/>
            <w:vAlign w:val="center"/>
          </w:tcPr>
          <w:p>
            <w:r>
              <w:rPr>
                <w:rFonts w:ascii="Cambria" w:hAnsi="Cambria"/>
                <w:b w:val="false"/>
                <w:color w:val="58400C"/>
                <w:sz w:val="24"/>
              </w:rPr>
              <w:t>Proiecte cu impact major in comunitate</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r>
              <w:rPr>
                <w:rFonts w:ascii="Cambria" w:hAnsi="Cambria"/>
                <w:b w:val="false"/>
                <w:sz w:val="24"/>
              </w:rPr>
              <w:t>Metodologia de verificare si documente obligatorii:Se punctează proiectele care se adresează unei comunități extinse, dovedind o populație deservită de cel puțin 10.000 locuitori din teritoriul GAL „Poiana Vladicai”.Expertul verifică în documentația proiectului și în Hotărârea de aprobare a proiectului care este numărul de persoane care vor beneficia de acces îmbunătățit la servicii și infrastructură prin intermediul proiectului propus.Documente obligatorii:</w:t>
            </w:r>
          </w:p>
          <w:p>
            <w:pPr>
              <w:pStyle w:val="ListParagraph"/>
              <w:numPr>
                <w:ilvl w:val="0"/>
                <w:numId w:val="2"/>
              </w:numPr>
            </w:pPr>
            <w:r>
              <w:rPr>
                <w:rFonts w:ascii="Cambria" w:hAnsi="Cambria"/>
                <w:b w:val="false"/>
                <w:sz w:val="24"/>
              </w:rPr>
              <w:t>Cererea de finanțare</w:t>
            </w:r>
          </w:p>
          <w:p>
            <w:pPr>
              <w:pStyle w:val="ListParagraph"/>
              <w:numPr>
                <w:ilvl w:val="0"/>
                <w:numId w:val="2"/>
              </w:numPr>
            </w:pPr>
            <w:r>
              <w:rPr>
                <w:rFonts w:ascii="Cambria" w:hAnsi="Cambria"/>
                <w:b w:val="false"/>
                <w:sz w:val="24"/>
              </w:rPr>
              <w:t>SF/DALI/MJ (dacă este cazul);</w:t>
            </w:r>
          </w:p>
          <w:p>
            <w:pPr>
              <w:pStyle w:val="ListParagraph"/>
              <w:numPr>
                <w:ilvl w:val="0"/>
                <w:numId w:val="2"/>
              </w:numPr>
            </w:pPr>
            <w:r>
              <w:rPr>
                <w:rFonts w:ascii="Cambria" w:hAnsi="Cambria"/>
                <w:b w:val="false"/>
                <w:sz w:val="24"/>
              </w:rPr>
              <w:t>Hotărârea de aprobare a proiectuluiu</w:t>
            </w:r>
          </w:p>
          <w:p>
            <w:pPr>
              <w:pStyle w:val="ListParagraph"/>
              <w:numPr>
                <w:ilvl w:val="0"/>
                <w:numId w:val="2"/>
              </w:numPr>
            </w:pPr>
            <w:r>
              <w:rPr>
                <w:rFonts w:ascii="Cambria" w:hAnsi="Cambria"/>
                <w:b w:val="false"/>
                <w:sz w:val="24"/>
                <w:shd w:val="clear" w:fill="FFFFFF"/>
              </w:rPr>
              <w:t>Anexa 9 - Indicatori de monitorizare GAL.</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p>
          <w:p>
            <w:pPr>
              <w:spacing w:line="360" w:lineRule="auto"/>
              <w:ind w:left="0" w:right="0" w:firstLine="493"/>
            </w:pPr>
            <w:r>
              <w:rPr>
                <w:rFonts w:ascii="Cambria Bold" w:hAnsi="Cambria Bold"/>
                <w:b/>
                <w:color w:val="014935"/>
                <w:sz w:val="24"/>
              </w:rPr>
              <w:t>Proiecte care cuprind achizitii si dotari cu echipamente specifice energiei verzi, inclusiv biomasa.</w:t>
            </w:r>
          </w:p>
        </w:tc>
        <w:tc>
          <w:tcPr>
            <w:shd w:val="clear" w:color="auto" w:fill="CCE1DB"/>
            <w:vAlign w:val="center"/>
          </w:tcPr>
          <w:p>
            <w:pPr>
              <w:spacing w:line="360" w:lineRule="auto"/>
              <w:ind w:left="0" w:right="0" w:firstLine="493"/>
            </w:pPr>
            <w:r>
              <w:rPr>
                <w:rFonts w:ascii="Cambria Bold" w:hAnsi="Cambria Bold"/>
                <w:b/>
                <w:color w:val="014935"/>
                <w:sz w:val="24"/>
              </w:rPr>
              <w:t>30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3.1</w:t>
            </w:r>
          </w:p>
        </w:tc>
        <w:tc>
          <w:tcPr>
            <w:shd w:val="clear" w:color="auto" w:fill="F8ECD2"/>
            <w:vAlign w:val="center"/>
          </w:tcPr>
          <w:p>
            <w:r>
              <w:rPr>
                <w:rFonts w:ascii="Cambria" w:hAnsi="Cambria"/>
                <w:b w:val="false"/>
                <w:color w:val="58400C"/>
                <w:sz w:val="24"/>
              </w:rPr>
              <w:t>Proiecte care cuprind achiziții și dotări cu echipamente specifice energiei verzi, inclusiv biomasa </w:t>
            </w:r>
          </w:p>
        </w:tc>
        <w:tc>
          <w:tcPr>
            <w:vAlign w:val="center"/>
          </w:tcPr>
          <w:p>
            <w:pPr>
              <w:keepNext/>
              <w:spacing w:line="360" w:lineRule="auto"/>
              <w:ind w:left="0" w:right="0" w:firstLine="493"/>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Metodologia de verificare si documente obligatorii</w:t>
            </w:r>
          </w:p>
          <w:p>
            <w:pPr>
              <w:spacing w:line="360" w:lineRule="auto"/>
              <w:ind w:left="0" w:right="0" w:firstLine="493"/>
            </w:pPr>
            <w:r>
              <w:rPr>
                <w:rFonts w:ascii="Cambria" w:hAnsi="Cambria"/>
                <w:b w:val="false"/>
                <w:sz w:val="24"/>
              </w:rPr>
              <w:t>Se punctează proiectele care prevad achizitii și dotări cu echipamente specifice energiei verzi, inclusiv biomasa.</w:t>
            </w:r>
          </w:p>
          <w:p>
            <w:pPr>
              <w:spacing w:line="360" w:lineRule="auto"/>
              <w:ind w:left="0" w:right="0" w:firstLine="493"/>
            </w:pPr>
            <w:r>
              <w:rPr>
                <w:rFonts w:ascii="Cambria Bold" w:hAnsi="Cambria Bold"/>
                <w:b/>
                <w:sz w:val="24"/>
              </w:rPr>
              <w:t>Documente obligatorii</w:t>
            </w:r>
            <w:r>
              <w:rPr>
                <w:rFonts w:ascii="Cambria" w:hAnsi="Cambria"/>
                <w:b w:val="false"/>
                <w:sz w:val="24"/>
              </w:rPr>
              <w:t>:</w:t>
            </w:r>
          </w:p>
          <w:p>
            <w:pPr>
              <w:pStyle w:val="ListParagraph"/>
              <w:numPr>
                <w:ilvl w:val="0"/>
                <w:numId w:val="2"/>
              </w:numPr>
            </w:pPr>
            <w:r>
              <w:rPr>
                <w:rFonts w:ascii="Cambria" w:hAnsi="Cambria"/>
                <w:b w:val="false"/>
                <w:sz w:val="24"/>
              </w:rPr>
              <w:t>Memoriul Justificativ / Studiul de Fezabilitate/ Documentația de Avizare pentru Lucrări de Intervenții.</w:t>
            </w:r>
          </w:p>
          <w:p>
            <w:pPr>
              <w:pStyle w:val="ListParagraph"/>
              <w:numPr>
                <w:ilvl w:val="0"/>
                <w:numId w:val="2"/>
              </w:numPr>
            </w:pPr>
            <w:r>
              <w:rPr>
                <w:rFonts w:ascii="Cambria" w:hAnsi="Cambria"/>
                <w:b w:val="false"/>
                <w:sz w:val="24"/>
              </w:rPr>
              <w:t>Cererea de finanțare - Secțiunea E2.2 - Descrierea îndeplinirii criteriilor de selecție;</w:t>
            </w:r>
          </w:p>
          <w:p>
            <w:pPr>
              <w:pStyle w:val="ListParagraph"/>
              <w:numPr>
                <w:ilvl w:val="0"/>
                <w:numId w:val="2"/>
              </w:numPr>
            </w:pPr>
            <w:r>
              <w:rPr>
                <w:rFonts w:ascii="Cambria" w:hAnsi="Cambria"/>
                <w:b w:val="false"/>
                <w:sz w:val="24"/>
              </w:rPr>
              <w:t>Anexa 23 - Declaratie actiuni mediu.</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Îndeplinit</w:t>
            </w:r>
            <w:r>
              <w:rPr>
                <w:rFonts w:ascii="Cambria Bold" w:hAnsi="Cambria Bold"/>
                <w:b/>
                <w:color w:val="FFFFFF"/>
                <w:sz w:val="24"/>
              </w:rPr>
              <w:br/>
            </w:r>
            <w:r>
              <w:rPr>
                <w:rFonts w:ascii="Cambria Bold" w:hAnsi="Cambria Bold"/>
                <w:b/>
                <w:color w:val="FFFFFF"/>
                <w:sz w:val="24"/>
              </w:rPr>
              <w:t>DA/NU</w:t>
            </w:r>
          </w:p>
        </w:tc>
        <w:tc>
          <w:tcPr>
            <w:tcW w:w="750" w:type="pct"/>
            <w:shd w:val="clear" w:color="auto" w:fill="015840"/>
            <w:vAlign w:val="center"/>
          </w:tcPr>
          <w:p>
            <w:pPr>
              <w:keepNext/>
              <w:jc w:val="center"/>
            </w:pPr>
            <w:r>
              <w:rPr>
                <w:rFonts w:ascii="Cambria Bold" w:hAnsi="Cambria Bold"/>
                <w:b/>
                <w:color w:val="FFFFFF"/>
                <w:sz w:val="24"/>
              </w:rPr>
              <w:t>Valoare</w:t>
            </w:r>
            <w:r>
              <w:rPr>
                <w:rFonts w:ascii="Cambria Bold" w:hAnsi="Cambria Bold"/>
                <w:b/>
                <w:color w:val="FFFFFF"/>
                <w:sz w:val="24"/>
              </w:rPr>
              <w:br/>
            </w:r>
            <w:r>
              <w:rPr>
                <w:rFonts w:ascii="Cambria Bold" w:hAnsi="Cambria Bold"/>
                <w:b/>
                <w:color w:val="FFFFFF"/>
                <w:sz w:val="24"/>
              </w:rPr>
              <w:t>(dacă este cazul)</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îndeplinirii</w:t>
            </w:r>
          </w:p>
        </w:tc>
      </w:tr>
      <w:tr>
        <w:trPr/>
        <w:tc>
          <w:tcPr>
            <w:shd w:val="clear" w:color="auto" w:fill="F8ECD2"/>
            <w:vAlign w:val="center"/>
          </w:tcPr>
          <w:p>
            <w:r>
              <w:rPr>
                <w:rFonts w:ascii="Cambria" w:hAnsi="Cambria"/>
                <w:b w:val="false"/>
                <w:color w:val="58400C"/>
                <w:sz w:val="24"/>
              </w:rPr>
              <w:t>CD </w:t>
            </w:r>
            <w:r>
              <w:rPr>
                <w:rFonts w:ascii="Cambria" w:hAnsi="Cambria"/>
                <w:b w:val="false"/>
                <w:color w:val="58400C"/>
                <w:sz w:val="24"/>
              </w:rPr>
              <w:t>CD 1</w:t>
            </w:r>
          </w:p>
        </w:tc>
        <w:tc>
          <w:tcPr>
            <w:shd w:val="clear" w:color="auto" w:fill="F8ECD2"/>
            <w:vAlign w:val="center"/>
          </w:tcPr>
          <w:p>
            <w:r>
              <w:rPr>
                <w:rFonts w:ascii="Cambria" w:hAnsi="Cambria"/>
                <w:b w:val="false"/>
                <w:color w:val="58400C"/>
                <w:sz w:val="24"/>
              </w:rPr>
              <w:t>Proiectelor vor fi prioritizate laselectie in vederea finantarii infunctie de valoarea totala aproiectului, în ordine descrescatoare.</w:t>
            </w: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Documente prezentate/verificate: Cererea de finanțare – buget indicativ si plan de finantare; SF/DALI/MJ;</w:t>
            </w:r>
          </w:p>
          <w:p>
            <w:pPr>
              <w:spacing w:line="360" w:lineRule="auto"/>
              <w:ind w:left="0" w:right="0" w:firstLine="493"/>
            </w:pPr>
            <w:r>
              <w:rPr>
                <w:rFonts w:ascii="Cambria" w:hAnsi="Cambria"/>
                <w:b w:val="false"/>
                <w:sz w:val="24"/>
              </w:rPr>
              <w:t>Expertul GAL va întocmi o listă a proiectelor cu punctaj egal după punctarea criteriilor de selectie. Pentru aceste proiecte expertul GAL va verifica și corobora informațiile din documentele de mai sus și va ierarhiza proiectele în funcție de valoarea totală a proiectului, în ordine descrescatoare. Vor avea întaietate la selecție proiectele cu valoarea totală eligibila, cea mai mare, în ordine descrescatoare. </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numbering.xml><?xml version="1.0" encoding="utf-8"?>
<w:numbering xmlns:w="http://schemas.openxmlformats.org/wordprocessingml/2006/main">
  <w:abstractNum w:abstractNumId="1">
    <w:multiLevelType w:val="hybridMultilevel"/>
    <w:name w:val="disc"/>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num w:numId="2">
    <w:abstractNumId w:val="1"/>
    <w:lvlOverride w:ilvl="0">
      <w:startOverride w:val="1"/>
    </w:lvlOverride>
  </w:num>
</w:numbering>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xmlns:w="http://schemas.openxmlformats.org/wordprocessingml/2006/main" w:type="paragraph" w:styleId="ListParagraph">
    <w:name w:val="List Paragraph"/>
    <w:next w:val="List Paragraph"/>
    <w:pPr>
      <w:keepNext w:val="0"/>
      <w:keepLines w:val="0"/>
      <w:spacing w:before="0" w:after="0" w:line="240" w:lineRule="auto"/>
      <w:ind w:start="720" w:end="0" w:firstLine="0"/>
      <w:contextualSpacing/>
    </w:pPr>
  </w:style>
</w:styles>
</file>

<file path=word/_rels/document.xml.rels>&#65279;<?xml version="1.0" encoding="utf-8"?><Relationships xmlns="http://schemas.openxmlformats.org/package/2006/relationships"><Relationship Type="http://schemas.openxmlformats.org/officeDocument/2006/relationships/styles" Target="/word/styles.xml" Id="R57029a76434844d9" /><Relationship Type="http://schemas.openxmlformats.org/officeDocument/2006/relationships/numbering" Target="/word/numbering.xml" Id="Rf861d53aa85244c1" /></Relationships>
</file>